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7CAAC" w:themeColor="accent2" w:themeTint="66"/>
  <w:body>
    <w:p w14:paraId="6F5E7AC1" w14:textId="77777777" w:rsidR="005E5F97" w:rsidRPr="005E5F97" w:rsidRDefault="005E5F97" w:rsidP="00E532A0">
      <w:pPr>
        <w:shd w:val="clear" w:color="auto" w:fill="F7CAAC" w:themeFill="accent2" w:themeFillTint="66"/>
        <w:spacing w:after="0"/>
        <w:rPr>
          <w:noProof/>
          <w:sz w:val="18"/>
          <w:szCs w:val="18"/>
          <w:u w:val="single"/>
          <w:lang w:val="en-GB"/>
        </w:rPr>
      </w:pPr>
      <w:r w:rsidRPr="005E5F97">
        <w:rPr>
          <w:noProof/>
          <w:sz w:val="18"/>
          <w:szCs w:val="18"/>
          <w:u w:val="single"/>
          <w:lang w:val="en-GB"/>
        </w:rPr>
        <w:t>20.02.2023</w:t>
      </w:r>
    </w:p>
    <w:p w14:paraId="60E7BC22" w14:textId="0B05BD61" w:rsidR="00E532A0" w:rsidRDefault="00000000" w:rsidP="00E532A0">
      <w:pPr>
        <w:shd w:val="clear" w:color="auto" w:fill="F7CAAC" w:themeFill="accent2" w:themeFillTint="66"/>
        <w:spacing w:after="0"/>
        <w:rPr>
          <w:rFonts w:ascii="Montserrat" w:hAnsi="Montserrat"/>
          <w:color w:val="007398"/>
          <w:sz w:val="20"/>
          <w:szCs w:val="20"/>
          <w:lang w:val="en-GB"/>
        </w:rPr>
      </w:pPr>
      <w:hyperlink r:id="rId5" w:history="1">
        <w:r w:rsidR="00E532A0" w:rsidRPr="00D32F56">
          <w:rPr>
            <w:rStyle w:val="Lienhypertexte"/>
            <w:rFonts w:ascii="Montserrat" w:hAnsi="Montserrat"/>
            <w:b/>
            <w:bCs/>
            <w:sz w:val="20"/>
            <w:szCs w:val="20"/>
            <w:lang w:val="en-GB"/>
          </w:rPr>
          <w:t>Link</w:t>
        </w:r>
      </w:hyperlink>
      <w:r w:rsidR="00E532A0" w:rsidRPr="00E532A0">
        <w:rPr>
          <w:rFonts w:ascii="Montserrat" w:hAnsi="Montserrat"/>
          <w:color w:val="007398"/>
          <w:sz w:val="20"/>
          <w:szCs w:val="20"/>
          <w:lang w:val="en-GB"/>
        </w:rPr>
        <w:t xml:space="preserve"> to the website</w:t>
      </w:r>
    </w:p>
    <w:p w14:paraId="14F45A02" w14:textId="77777777" w:rsidR="00D32F56" w:rsidRPr="00E532A0" w:rsidRDefault="00D32F56" w:rsidP="005E5F97">
      <w:pPr>
        <w:shd w:val="clear" w:color="auto" w:fill="F7CAAC" w:themeFill="accent2" w:themeFillTint="66"/>
        <w:spacing w:after="0"/>
        <w:rPr>
          <w:rFonts w:ascii="Montserrat" w:hAnsi="Montserrat"/>
          <w:color w:val="007398"/>
          <w:sz w:val="20"/>
          <w:szCs w:val="20"/>
          <w:lang w:val="en-GB"/>
        </w:rPr>
      </w:pPr>
    </w:p>
    <w:p w14:paraId="5B81055E" w14:textId="5C3980B8" w:rsidR="005E5F97" w:rsidRDefault="005E5F97" w:rsidP="005E5F97">
      <w:pPr>
        <w:pStyle w:val="NormalWeb"/>
        <w:shd w:val="clear" w:color="auto" w:fill="F7CAAC" w:themeFill="accent2" w:themeFillTint="66"/>
        <w:spacing w:before="0" w:beforeAutospacing="0"/>
        <w:jc w:val="center"/>
        <w:rPr>
          <w:rFonts w:ascii="Montserrat" w:hAnsi="Montserrat"/>
          <w:color w:val="000000"/>
        </w:rPr>
      </w:pPr>
      <w:r w:rsidRPr="005E5F97">
        <w:rPr>
          <w:rFonts w:ascii="Montserrat" w:eastAsiaTheme="majorEastAsia" w:hAnsi="Montserrat" w:cstheme="majorBidi"/>
          <w:b/>
          <w:bCs/>
          <w:caps/>
          <w:color w:val="007398"/>
          <w:sz w:val="32"/>
          <w:szCs w:val="32"/>
          <w:u w:val="single"/>
          <w:lang w:eastAsia="en-US"/>
        </w:rPr>
        <w:t>THE ROLE OF ANIMAL-SOURCE FOODS IN HEALTHY AND ENVIRONMENTALLY SUSTAINABLE DIETS</w:t>
      </w:r>
    </w:p>
    <w:p w14:paraId="1113233C" w14:textId="263B814D" w:rsidR="005E5F97" w:rsidRDefault="005E5F97" w:rsidP="005E5F97">
      <w:pPr>
        <w:pStyle w:val="NormalWeb"/>
        <w:shd w:val="clear" w:color="auto" w:fill="F7CAAC" w:themeFill="accent2" w:themeFillTint="66"/>
        <w:spacing w:before="0" w:beforeAutospacing="0"/>
        <w:rPr>
          <w:rFonts w:ascii="Montserrat" w:hAnsi="Montserrat"/>
          <w:color w:val="000000"/>
        </w:rPr>
      </w:pPr>
    </w:p>
    <w:p w14:paraId="6A564B8F" w14:textId="25F8E3BA" w:rsidR="005E5F97" w:rsidRPr="005E5F97" w:rsidRDefault="005E5F97" w:rsidP="005E5F97">
      <w:pPr>
        <w:pStyle w:val="NormalWeb"/>
        <w:shd w:val="clear" w:color="auto" w:fill="F7CAAC" w:themeFill="accent2" w:themeFillTint="66"/>
        <w:spacing w:before="0" w:beforeAutospacing="0"/>
        <w:rPr>
          <w:rFonts w:ascii="Montserrat" w:hAnsi="Montserrat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4FB9EB" wp14:editId="644AD5CC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049400" cy="1422400"/>
            <wp:effectExtent l="0" t="0" r="8255" b="6350"/>
            <wp:wrapThrough wrapText="bothSides">
              <wp:wrapPolygon edited="0">
                <wp:start x="0" y="0"/>
                <wp:lineTo x="0" y="21407"/>
                <wp:lineTo x="21486" y="21407"/>
                <wp:lineTo x="21486" y="0"/>
                <wp:lineTo x="0" y="0"/>
              </wp:wrapPolygon>
            </wp:wrapThrough>
            <wp:docPr id="7" name="Image 7" descr="Une image contenant alimentation, assiette, tranche, morc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alimentation, assiette, tranche, morceau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5F97">
        <w:rPr>
          <w:rFonts w:ascii="Montserrat" w:hAnsi="Montserrat"/>
          <w:color w:val="000000"/>
        </w:rPr>
        <w:t>Scientific and political debates around the role of </w:t>
      </w:r>
      <w:r w:rsidRPr="005E5F97">
        <w:rPr>
          <w:rFonts w:ascii="Montserrat" w:hAnsi="Montserrat"/>
          <w:b/>
          <w:bCs/>
          <w:color w:val="000000"/>
        </w:rPr>
        <w:t>Animal-Source Foods </w:t>
      </w:r>
      <w:r w:rsidRPr="005E5F97">
        <w:rPr>
          <w:rFonts w:ascii="Montserrat" w:hAnsi="Montserrat"/>
          <w:color w:val="000000"/>
        </w:rPr>
        <w:t>in healthy and environmentally </w:t>
      </w:r>
      <w:r w:rsidRPr="005E5F97">
        <w:rPr>
          <w:rFonts w:ascii="Montserrat" w:hAnsi="Montserrat"/>
          <w:b/>
          <w:bCs/>
          <w:color w:val="000000"/>
        </w:rPr>
        <w:t>sustainable diets</w:t>
      </w:r>
      <w:r w:rsidRPr="005E5F97">
        <w:rPr>
          <w:rFonts w:ascii="Montserrat" w:hAnsi="Montserrat"/>
          <w:color w:val="000000"/>
        </w:rPr>
        <w:t xml:space="preserve"> are often diverging. Animal-Source Foods, such as meat, milk, </w:t>
      </w:r>
      <w:proofErr w:type="gramStart"/>
      <w:r w:rsidRPr="005E5F97">
        <w:rPr>
          <w:rFonts w:ascii="Montserrat" w:hAnsi="Montserrat"/>
          <w:color w:val="000000"/>
        </w:rPr>
        <w:t>fish</w:t>
      </w:r>
      <w:proofErr w:type="gramEnd"/>
      <w:r w:rsidRPr="005E5F97">
        <w:rPr>
          <w:rFonts w:ascii="Montserrat" w:hAnsi="Montserrat"/>
          <w:color w:val="000000"/>
        </w:rPr>
        <w:t xml:space="preserve"> and eggs, have many positive health effects when consumed in the recommended amounts. They represent a key strategy for </w:t>
      </w:r>
      <w:r w:rsidRPr="005E5F97">
        <w:rPr>
          <w:rFonts w:ascii="Montserrat" w:hAnsi="Montserrat"/>
          <w:b/>
          <w:bCs/>
          <w:color w:val="000000"/>
        </w:rPr>
        <w:t>addressing undernutrition</w:t>
      </w:r>
      <w:r w:rsidRPr="005E5F97">
        <w:rPr>
          <w:rFonts w:ascii="Montserrat" w:hAnsi="Montserrat"/>
          <w:color w:val="000000"/>
        </w:rPr>
        <w:t> in low- and middle-income countries thanks to their richness in commonly lacking nutrients. For these reasons, </w:t>
      </w:r>
      <w:r w:rsidRPr="005E5F97">
        <w:rPr>
          <w:rFonts w:ascii="Montserrat" w:hAnsi="Montserrat"/>
          <w:b/>
          <w:bCs/>
          <w:color w:val="000000"/>
        </w:rPr>
        <w:t>scientists</w:t>
      </w:r>
      <w:r w:rsidRPr="005E5F97">
        <w:rPr>
          <w:rFonts w:ascii="Montserrat" w:hAnsi="Montserrat"/>
          <w:color w:val="000000"/>
        </w:rPr>
        <w:t> are increasingly debating the role of Animal-Source Foods and clarifying the evidence of their health and environmental benefits and risks. A </w:t>
      </w:r>
      <w:hyperlink r:id="rId7" w:anchor="bib124" w:history="1">
        <w:r w:rsidRPr="005E5F97">
          <w:rPr>
            <w:rFonts w:ascii="Montserrat" w:hAnsi="Montserrat"/>
            <w:color w:val="007BFF"/>
            <w:u w:val="single"/>
          </w:rPr>
          <w:t>Critical Review</w:t>
        </w:r>
      </w:hyperlink>
      <w:r w:rsidRPr="005E5F97">
        <w:rPr>
          <w:rFonts w:ascii="Montserrat" w:hAnsi="Montserrat"/>
          <w:color w:val="000000"/>
        </w:rPr>
        <w:t> published in the Journal of Nutrition by </w:t>
      </w:r>
      <w:r w:rsidRPr="005E5F97">
        <w:rPr>
          <w:rFonts w:ascii="Montserrat" w:hAnsi="Montserrat"/>
          <w:b/>
          <w:bCs/>
          <w:color w:val="000000"/>
        </w:rPr>
        <w:t xml:space="preserve">Anne </w:t>
      </w:r>
      <w:proofErr w:type="spellStart"/>
      <w:r w:rsidRPr="005E5F97">
        <w:rPr>
          <w:rFonts w:ascii="Montserrat" w:hAnsi="Montserrat"/>
          <w:b/>
          <w:bCs/>
          <w:color w:val="000000"/>
        </w:rPr>
        <w:t>Mottet</w:t>
      </w:r>
      <w:proofErr w:type="spellEnd"/>
      <w:r w:rsidRPr="005E5F97">
        <w:rPr>
          <w:rFonts w:ascii="Montserrat" w:hAnsi="Montserrat"/>
          <w:color w:val="000000"/>
        </w:rPr>
        <w:t xml:space="preserve"> discusses the health benefits of Animal-Source Foods and their health risks. The article also focuses on their environmental benefits and risks, </w:t>
      </w:r>
      <w:proofErr w:type="spellStart"/>
      <w:r w:rsidRPr="005E5F97">
        <w:rPr>
          <w:rFonts w:ascii="Montserrat" w:hAnsi="Montserrat"/>
          <w:color w:val="000000"/>
        </w:rPr>
        <w:t>andreviews</w:t>
      </w:r>
      <w:proofErr w:type="spellEnd"/>
      <w:r w:rsidRPr="005E5F97">
        <w:rPr>
          <w:rFonts w:ascii="Montserrat" w:hAnsi="Montserrat"/>
          <w:color w:val="000000"/>
        </w:rPr>
        <w:t xml:space="preserve"> evidence on </w:t>
      </w:r>
      <w:r w:rsidRPr="005E5F97">
        <w:rPr>
          <w:rFonts w:ascii="Montserrat" w:hAnsi="Montserrat"/>
          <w:b/>
          <w:bCs/>
          <w:color w:val="000000"/>
        </w:rPr>
        <w:t>alternative proteins</w:t>
      </w:r>
      <w:r w:rsidRPr="005E5F97">
        <w:rPr>
          <w:rFonts w:ascii="Montserrat" w:hAnsi="Montserrat"/>
          <w:color w:val="000000"/>
        </w:rPr>
        <w:t> and protein-rich foods.</w:t>
      </w:r>
    </w:p>
    <w:p w14:paraId="0B9D9062" w14:textId="77777777" w:rsidR="005E5F97" w:rsidRPr="005E5F97" w:rsidRDefault="005E5F97" w:rsidP="005E5F97">
      <w:pPr>
        <w:shd w:val="clear" w:color="auto" w:fill="F7CAAC" w:themeFill="accent2" w:themeFillTint="66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</w:pP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It is well established that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Animal-Source Foods are dense in bioavailable nutrients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and can contribute to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food and nutrition security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. For example, they are the only intrinsic food source of vitamin B12 and contain more bioavailable forms of vitamins A and D, iron, and zinc than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plant-source foods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. Deficiencies of these micronutrients during critical stages in a person’s life can have severe and lasting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consequences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, including congenital disabilities, anaemia, reduced growth, cognitive impairment, increased susceptibility to infections, rickets, decreased work productivity, blindness, and even death. The paper points out that many Sub-Saharan African and South Asia populations could benefit from their increased consumption through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improved nutrient intakes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and reduced undernutrition.</w:t>
      </w:r>
    </w:p>
    <w:p w14:paraId="36B8B480" w14:textId="77777777" w:rsidR="005E5F97" w:rsidRPr="005E5F97" w:rsidRDefault="005E5F97" w:rsidP="005E5F97">
      <w:pPr>
        <w:shd w:val="clear" w:color="auto" w:fill="F7CAAC" w:themeFill="accent2" w:themeFillTint="66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</w:pP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When produced at the appropriate scale and following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local ecosystems and contexts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, Animal-Source Foods can play an important role in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circular and diverse agroecosystems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that, in certain circumstances, can help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restore biodiversity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and degraded land and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mitigate greenhouse gas emissions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from food production.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Livestock grazing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and feed production can positively and negatively affect soil health.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Livestock manure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moves organic matter, nutrients, and water within agroecosystems,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increases crop productivity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, and </w:t>
      </w:r>
      <w:hyperlink r:id="rId8" w:history="1">
        <w:r w:rsidRPr="005E5F97">
          <w:rPr>
            <w:rFonts w:ascii="Montserrat" w:eastAsia="Times New Roman" w:hAnsi="Montserrat" w:cs="Times New Roman"/>
            <w:color w:val="007BFF"/>
            <w:sz w:val="24"/>
            <w:szCs w:val="24"/>
            <w:u w:val="single"/>
            <w:lang w:val="en-GB" w:eastAsia="en-GB"/>
          </w:rPr>
          <w:t>many studies</w:t>
        </w:r>
      </w:hyperlink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have shown a consistent increase in soil organic matter with manure application. Consequently,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manure application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limits the decline in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soil fertility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 xml:space="preserve">, which is one of the biggest challenges in maintaining healthy </w:t>
      </w:r>
      <w:proofErr w:type="spellStart"/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soils.The</w:t>
      </w:r>
      <w:proofErr w:type="spellEnd"/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 xml:space="preserve"> direct and indirect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use of water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is one challenge often raised when looking at impacts of  livestock.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94% of the water used by livestock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represents “</w:t>
      </w:r>
      <w:hyperlink r:id="rId9" w:history="1">
        <w:r w:rsidRPr="005E5F97">
          <w:rPr>
            <w:rFonts w:ascii="Montserrat" w:eastAsia="Times New Roman" w:hAnsi="Montserrat" w:cs="Times New Roman"/>
            <w:color w:val="007BFF"/>
            <w:sz w:val="24"/>
            <w:szCs w:val="24"/>
            <w:u w:val="single"/>
            <w:lang w:val="en-GB" w:eastAsia="en-GB"/>
          </w:rPr>
          <w:t>green water</w:t>
        </w:r>
      </w:hyperlink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” from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rainfed conditions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, and more than one-third of green water comes from the production of pastures. Therefore,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pasture-based livestock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production can be a method to productively use this green water, which would fall on the land with or without livestock. This is particularly relevant for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pastures on marginal land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, which do not compete with cropland for water.</w:t>
      </w:r>
    </w:p>
    <w:p w14:paraId="66F1757A" w14:textId="77777777" w:rsidR="005E5F97" w:rsidRPr="005E5F97" w:rsidRDefault="005E5F97" w:rsidP="005E5F97">
      <w:pPr>
        <w:shd w:val="clear" w:color="auto" w:fill="F7CAAC" w:themeFill="accent2" w:themeFillTint="66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</w:pP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lastRenderedPageBreak/>
        <w:t>Beef cattle account for 33% of water use, dairy animals 18%, and pigs 14%. As such, the contribution of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livestock’s use of water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from irrigation (blue water) to the total water use is relatively low: 6% for broilers and 14% for pigs.</w:t>
      </w:r>
    </w:p>
    <w:p w14:paraId="5834C780" w14:textId="77777777" w:rsidR="005E5F97" w:rsidRPr="005E5F97" w:rsidRDefault="005E5F97" w:rsidP="005E5F97">
      <w:pPr>
        <w:shd w:val="clear" w:color="auto" w:fill="F7CAAC" w:themeFill="accent2" w:themeFillTint="66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</w:pP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Under specific circumstances, habitat modification can benefit biodiversity by maintaining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natural grasslands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. For example,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in Europe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, grassland habitats are among the ecosystem types with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the highest biodiversity levels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because </w:t>
      </w:r>
      <w:hyperlink r:id="rId10" w:history="1">
        <w:r w:rsidRPr="005E5F97">
          <w:rPr>
            <w:rFonts w:ascii="Montserrat" w:eastAsia="Times New Roman" w:hAnsi="Montserrat" w:cs="Times New Roman"/>
            <w:color w:val="007BFF"/>
            <w:sz w:val="24"/>
            <w:szCs w:val="24"/>
            <w:u w:val="single"/>
            <w:lang w:val="en-GB" w:eastAsia="en-GB"/>
          </w:rPr>
          <w:t>the long history</w:t>
        </w:r>
      </w:hyperlink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of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livestock farming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has provided time for a large pool of species to adapt to specific conditions.</w:t>
      </w:r>
    </w:p>
    <w:p w14:paraId="7BD64ED7" w14:textId="77777777" w:rsidR="005E5F97" w:rsidRPr="005E5F97" w:rsidRDefault="005E5F97" w:rsidP="005E5F97">
      <w:pPr>
        <w:shd w:val="clear" w:color="auto" w:fill="F7CAAC" w:themeFill="accent2" w:themeFillTint="66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</w:pP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Regarding climate change mitigation and adaptation, the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importance of livestock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is well recognized by policymakers. The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Intergovernmental Panel on Climate Change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(IPCC) </w:t>
      </w:r>
      <w:hyperlink r:id="rId11" w:history="1">
        <w:r w:rsidRPr="005E5F97">
          <w:rPr>
            <w:rFonts w:ascii="Montserrat" w:eastAsia="Times New Roman" w:hAnsi="Montserrat" w:cs="Times New Roman"/>
            <w:color w:val="007BFF"/>
            <w:sz w:val="24"/>
            <w:szCs w:val="24"/>
            <w:u w:val="single"/>
            <w:lang w:val="en-GB" w:eastAsia="en-GB"/>
          </w:rPr>
          <w:t>special report</w:t>
        </w:r>
      </w:hyperlink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on climate change and land for example found with high confidence that “supply-side practices can contribute to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climate change mitigation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by reducing crop and livestock emissions,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sequestering carbon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in soils and biomass, and decreasing emission intensity within sustainable production systems”.</w:t>
      </w:r>
    </w:p>
    <w:p w14:paraId="679B8A09" w14:textId="77777777" w:rsidR="005E5F97" w:rsidRPr="005E5F97" w:rsidRDefault="005E5F97" w:rsidP="005E5F97">
      <w:pPr>
        <w:shd w:val="clear" w:color="auto" w:fill="F7CAAC" w:themeFill="accent2" w:themeFillTint="66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</w:pP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But nobody is resting on their laurels, so the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FAO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has identified </w:t>
      </w:r>
      <w:hyperlink r:id="rId12" w:history="1">
        <w:r w:rsidRPr="005E5F97">
          <w:rPr>
            <w:rFonts w:ascii="Montserrat" w:eastAsia="Times New Roman" w:hAnsi="Montserrat" w:cs="Times New Roman"/>
            <w:color w:val="007BFF"/>
            <w:sz w:val="24"/>
            <w:szCs w:val="24"/>
            <w:u w:val="single"/>
            <w:lang w:val="en-GB" w:eastAsia="en-GB"/>
          </w:rPr>
          <w:t>three main strategies</w:t>
        </w:r>
      </w:hyperlink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for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climate change mitigation of livestock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:</w:t>
      </w:r>
    </w:p>
    <w:p w14:paraId="550B65E4" w14:textId="77777777" w:rsidR="005E5F97" w:rsidRPr="005E5F97" w:rsidRDefault="005E5F97" w:rsidP="005E5F97">
      <w:pPr>
        <w:numPr>
          <w:ilvl w:val="0"/>
          <w:numId w:val="3"/>
        </w:numPr>
        <w:shd w:val="clear" w:color="auto" w:fill="F7CAAC" w:themeFill="accent2" w:themeFillTint="66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</w:pP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 xml:space="preserve">Improve efficiency and </w:t>
      </w:r>
      <w:proofErr w:type="gramStart"/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productivity;</w:t>
      </w:r>
      <w:proofErr w:type="gramEnd"/>
    </w:p>
    <w:p w14:paraId="3150C7E0" w14:textId="77777777" w:rsidR="005E5F97" w:rsidRPr="005E5F97" w:rsidRDefault="005E5F97" w:rsidP="005E5F97">
      <w:pPr>
        <w:numPr>
          <w:ilvl w:val="0"/>
          <w:numId w:val="3"/>
        </w:numPr>
        <w:shd w:val="clear" w:color="auto" w:fill="F7CAAC" w:themeFill="accent2" w:themeFillTint="66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</w:pP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 xml:space="preserve">Better integrate ruminants in the circular bioeconomy, enhancing coproducts from crop processing and crop residues as feed and recycling energy and nutrients from </w:t>
      </w:r>
      <w:proofErr w:type="gramStart"/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manure;</w:t>
      </w:r>
      <w:proofErr w:type="gramEnd"/>
    </w:p>
    <w:p w14:paraId="0310B35F" w14:textId="77777777" w:rsidR="005E5F97" w:rsidRPr="005E5F97" w:rsidRDefault="005E5F97" w:rsidP="005E5F97">
      <w:pPr>
        <w:numPr>
          <w:ilvl w:val="0"/>
          <w:numId w:val="3"/>
        </w:numPr>
        <w:shd w:val="clear" w:color="auto" w:fill="F7CAAC" w:themeFill="accent2" w:themeFillTint="66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</w:pP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Increase soil organic carbon content, particularly in pastures, through improved grazing management.</w:t>
      </w:r>
    </w:p>
    <w:p w14:paraId="32BDF291" w14:textId="77777777" w:rsidR="005E5F97" w:rsidRPr="005E5F97" w:rsidRDefault="005E5F97" w:rsidP="005E5F97">
      <w:pPr>
        <w:shd w:val="clear" w:color="auto" w:fill="F7CAAC" w:themeFill="accent2" w:themeFillTint="66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</w:pP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It is estimated that a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14%–41% reduction in greenhouse gas emissions from the livestock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sector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is possible if all producers adopt the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technologies and practices currently used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by the most efficient producers.</w:t>
      </w:r>
    </w:p>
    <w:p w14:paraId="3C0F8137" w14:textId="77777777" w:rsidR="005E5F97" w:rsidRPr="005E5F97" w:rsidRDefault="005E5F97" w:rsidP="005E5F97">
      <w:pPr>
        <w:shd w:val="clear" w:color="auto" w:fill="F7CAAC" w:themeFill="accent2" w:themeFillTint="66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</w:pP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Livestock consumes one-third of the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global cereal production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as feed, which is 11% of total feed; the rest is mostly composed of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plant material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with no or limited other direct food use, such as grass, crop residues, and coproducts from crop processing. The specialized digestive tract of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ruminants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allows them to convert these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fibrous plant materials into human-digestible high-quality protein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, </w:t>
      </w:r>
      <w:hyperlink r:id="rId13" w:history="1">
        <w:r w:rsidRPr="005E5F97">
          <w:rPr>
            <w:rFonts w:ascii="Montserrat" w:eastAsia="Times New Roman" w:hAnsi="Montserrat" w:cs="Times New Roman"/>
            <w:color w:val="007BFF"/>
            <w:sz w:val="24"/>
            <w:szCs w:val="24"/>
            <w:u w:val="single"/>
            <w:lang w:val="en-GB" w:eastAsia="en-GB"/>
          </w:rPr>
          <w:t>adding value</w:t>
        </w:r>
      </w:hyperlink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to the products that might otherwise go unused. Such non-food products as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livestock feed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can contribute to biomass and nutrient recycling.</w:t>
      </w:r>
    </w:p>
    <w:p w14:paraId="39DCF1F9" w14:textId="77777777" w:rsidR="005E5F97" w:rsidRPr="005E5F97" w:rsidRDefault="005E5F97" w:rsidP="005E5F97">
      <w:pPr>
        <w:shd w:val="clear" w:color="auto" w:fill="F7CAAC" w:themeFill="accent2" w:themeFillTint="66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</w:pP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Using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manure as fertilizer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, livestock production recycles nutrients and organic matter. The total nutrients available from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livestock manure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exceed those from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synthetic fertilizers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, </w:t>
      </w:r>
      <w:hyperlink r:id="rId14" w:history="1">
        <w:r w:rsidRPr="005E5F97">
          <w:rPr>
            <w:rFonts w:ascii="Montserrat" w:eastAsia="Times New Roman" w:hAnsi="Montserrat" w:cs="Times New Roman"/>
            <w:color w:val="007BFF"/>
            <w:sz w:val="24"/>
            <w:szCs w:val="24"/>
            <w:u w:val="single"/>
            <w:lang w:val="en-GB" w:eastAsia="en-GB"/>
          </w:rPr>
          <w:t>covering more</w:t>
        </w:r>
      </w:hyperlink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than 80% of agricultural plants’ nitrogen and phosphorus requirements globally.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Integrating crops and livestock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can reduce the need for inputs such as land, water, and nutrients and improve overall efficiency.</w:t>
      </w:r>
    </w:p>
    <w:p w14:paraId="6C3BB2DF" w14:textId="77777777" w:rsidR="005E5F97" w:rsidRPr="005E5F97" w:rsidRDefault="005E5F97" w:rsidP="005E5F97">
      <w:pPr>
        <w:shd w:val="clear" w:color="auto" w:fill="F7CAAC" w:themeFill="accent2" w:themeFillTint="66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</w:pP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Better circularity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can be achieved by increasing the share of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livestock feed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consisting of grass, crop residues, and coproducts from processing humans cannot consume. And recycling and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recovering nutrients and energy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from animal waste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include the application, composting, and anaerobic digestion of manure for biogas production.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Circular livestock systems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have </w:t>
      </w:r>
      <w:hyperlink r:id="rId15" w:history="1">
        <w:r w:rsidRPr="005E5F97">
          <w:rPr>
            <w:rFonts w:ascii="Montserrat" w:eastAsia="Times New Roman" w:hAnsi="Montserrat" w:cs="Times New Roman"/>
            <w:color w:val="007BFF"/>
            <w:sz w:val="24"/>
            <w:szCs w:val="24"/>
            <w:u w:val="single"/>
            <w:lang w:val="en-GB" w:eastAsia="en-GB"/>
          </w:rPr>
          <w:t>the potential to provide</w:t>
        </w:r>
      </w:hyperlink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a significant share of daily protein requirements (50–60 g), and they could supply 9 to 23 grams of edible protein per person per day if all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food waste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could be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recycled as animal feed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.</w:t>
      </w:r>
    </w:p>
    <w:p w14:paraId="494A17E9" w14:textId="77777777" w:rsidR="005E5F97" w:rsidRPr="005E5F97" w:rsidRDefault="005E5F97" w:rsidP="005E5F97">
      <w:pPr>
        <w:shd w:val="clear" w:color="auto" w:fill="F7CAAC" w:themeFill="accent2" w:themeFillTint="66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</w:pP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lastRenderedPageBreak/>
        <w:t>There is no one-size-fits-all approach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 xml:space="preserve">, no general or </w:t>
      </w:r>
      <w:proofErr w:type="spellStart"/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averageamount</w:t>
      </w:r>
      <w:proofErr w:type="spellEnd"/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 xml:space="preserve"> of Animal-Source </w:t>
      </w:r>
      <w:proofErr w:type="gramStart"/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Foods  that</w:t>
      </w:r>
      <w:proofErr w:type="gramEnd"/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 xml:space="preserve"> are healthy and environmentally sustainable. It depends on the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local context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and health priorities and will inevitably change over time as populations develop and as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nutritional concerns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evolve.</w:t>
      </w:r>
    </w:p>
    <w:p w14:paraId="3A842C12" w14:textId="77777777" w:rsidR="005E5F97" w:rsidRPr="005E5F97" w:rsidRDefault="005E5F97" w:rsidP="005E5F97">
      <w:pPr>
        <w:shd w:val="clear" w:color="auto" w:fill="F7CAAC" w:themeFill="accent2" w:themeFillTint="66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</w:pP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Efforts by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governments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and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civil society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organisations to increase or decrease consumption of animal source foods should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involve the local stakeholders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impacted by potential changes. Policies, programmes, and incentives are needed to </w:t>
      </w:r>
      <w:r w:rsidRPr="005E5F9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val="en-GB" w:eastAsia="en-GB"/>
        </w:rPr>
        <w:t>ensure best practices</w:t>
      </w:r>
      <w:r w:rsidRPr="005E5F97">
        <w:rPr>
          <w:rFonts w:ascii="Montserrat" w:eastAsia="Times New Roman" w:hAnsi="Montserrat" w:cs="Times New Roman"/>
          <w:color w:val="000000"/>
          <w:sz w:val="24"/>
          <w:szCs w:val="24"/>
          <w:lang w:val="en-GB" w:eastAsia="en-GB"/>
        </w:rPr>
        <w:t> in production, curb excess consumption where it is high, and sustainably increase consumption where it is low.</w:t>
      </w:r>
    </w:p>
    <w:p w14:paraId="3E1207FF" w14:textId="7A85212F" w:rsidR="004157AA" w:rsidRPr="00396485" w:rsidRDefault="00E532A0" w:rsidP="005E5F97">
      <w:pPr>
        <w:shd w:val="clear" w:color="auto" w:fill="F7CAAC" w:themeFill="accent2" w:themeFillTint="66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930BE5" wp14:editId="231F9B5A">
            <wp:simplePos x="0" y="0"/>
            <wp:positionH relativeFrom="column">
              <wp:posOffset>1409700</wp:posOffset>
            </wp:positionH>
            <wp:positionV relativeFrom="paragraph">
              <wp:posOffset>-635</wp:posOffset>
            </wp:positionV>
            <wp:extent cx="3511550" cy="2463800"/>
            <wp:effectExtent l="0" t="0" r="0" b="0"/>
            <wp:wrapNone/>
            <wp:docPr id="5" name="Image 5" descr="Une image contenant texte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sig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157AA" w:rsidRPr="00396485" w:rsidSect="00BC3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535CE"/>
    <w:multiLevelType w:val="hybridMultilevel"/>
    <w:tmpl w:val="ADAAF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54191"/>
    <w:multiLevelType w:val="multilevel"/>
    <w:tmpl w:val="2692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C77360"/>
    <w:multiLevelType w:val="multilevel"/>
    <w:tmpl w:val="EC5A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5749405">
    <w:abstractNumId w:val="2"/>
  </w:num>
  <w:num w:numId="2" w16cid:durableId="1043404849">
    <w:abstractNumId w:val="0"/>
  </w:num>
  <w:num w:numId="3" w16cid:durableId="1784223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66"/>
    <w:rsid w:val="002D742F"/>
    <w:rsid w:val="00396485"/>
    <w:rsid w:val="004157AA"/>
    <w:rsid w:val="005E5F97"/>
    <w:rsid w:val="006E082B"/>
    <w:rsid w:val="00904D0B"/>
    <w:rsid w:val="00B612AC"/>
    <w:rsid w:val="00BC3966"/>
    <w:rsid w:val="00D32F56"/>
    <w:rsid w:val="00E532A0"/>
    <w:rsid w:val="00FE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6B49"/>
  <w15:chartTrackingRefBased/>
  <w15:docId w15:val="{CC2CC638-0315-4DC1-88C9-E8D90D78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32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4157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Lienhypertexte">
    <w:name w:val="Hyperlink"/>
    <w:basedOn w:val="Policepardfaut"/>
    <w:uiPriority w:val="99"/>
    <w:unhideWhenUsed/>
    <w:rsid w:val="00BC3966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C3966"/>
    <w:rPr>
      <w:b/>
      <w:bCs/>
    </w:rPr>
  </w:style>
  <w:style w:type="character" w:styleId="Accentuation">
    <w:name w:val="Emphasis"/>
    <w:basedOn w:val="Policepardfaut"/>
    <w:uiPriority w:val="20"/>
    <w:qFormat/>
    <w:rsid w:val="00BC3966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4157A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Titre1Car">
    <w:name w:val="Titre 1 Car"/>
    <w:basedOn w:val="Policepardfaut"/>
    <w:link w:val="Titre1"/>
    <w:uiPriority w:val="9"/>
    <w:rsid w:val="00E53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E53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0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0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43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87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1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9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4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53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71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19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770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65261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00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99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5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2571-8789/4/4/64" TargetMode="External"/><Relationship Id="rId13" Type="http://schemas.openxmlformats.org/officeDocument/2006/relationships/hyperlink" Target="https://www.sciencedirect.com/science/article/abs/pii/S221191241630001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0022316622131378" TargetMode="External"/><Relationship Id="rId12" Type="http://schemas.openxmlformats.org/officeDocument/2006/relationships/hyperlink" Target="https://www.fao.org/3/i8098e/i8098e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nature.com/articles/s43016-020-0031-z" TargetMode="External"/><Relationship Id="rId5" Type="http://schemas.openxmlformats.org/officeDocument/2006/relationships/hyperlink" Target="https://meatthefacts.eu/home/activity/beyond-the-headlines/the-role-of-animal-source-foods-in-healthy-and-environmentally-sustainable-diets/" TargetMode="External"/><Relationship Id="rId15" Type="http://schemas.openxmlformats.org/officeDocument/2006/relationships/hyperlink" Target="https://onlinelibrary.wiley.com/doi/full/10.1111/gcb.14321" TargetMode="External"/><Relationship Id="rId10" Type="http://schemas.openxmlformats.org/officeDocument/2006/relationships/hyperlink" Target="https://www.jstor.org/stable/24049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upubs.onlinelibrary.wiley.com/doi/full/10.1029/2019WR026995" TargetMode="External"/><Relationship Id="rId14" Type="http://schemas.openxmlformats.org/officeDocument/2006/relationships/hyperlink" Target="https://www.pnas.org/doi/abs/10.1073/pnas.1012878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Berthelot</dc:creator>
  <cp:keywords/>
  <dc:description/>
  <cp:lastModifiedBy>Lara Berthelot</cp:lastModifiedBy>
  <cp:revision>2</cp:revision>
  <dcterms:created xsi:type="dcterms:W3CDTF">2023-02-20T08:58:00Z</dcterms:created>
  <dcterms:modified xsi:type="dcterms:W3CDTF">2023-02-20T08:58:00Z</dcterms:modified>
</cp:coreProperties>
</file>